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FF6" w:rsidRDefault="00DF0FF6" w:rsidP="00DF0FF6">
      <w:pPr>
        <w:spacing w:line="36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Regulations on the Administration of International students in</w:t>
      </w:r>
      <w:bookmarkEnd w:id="0"/>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Yancheng</w:t>
      </w:r>
      <w:proofErr w:type="spellEnd"/>
      <w:r>
        <w:rPr>
          <w:rFonts w:ascii="Times New Roman" w:hAnsi="Times New Roman" w:cs="Times New Roman"/>
          <w:b/>
          <w:bCs/>
          <w:sz w:val="28"/>
          <w:szCs w:val="28"/>
        </w:rPr>
        <w:t xml:space="preserve"> </w:t>
      </w:r>
      <w:r>
        <w:rPr>
          <w:rFonts w:ascii="Times New Roman" w:hAnsi="Times New Roman" w:cs="Times New Roman" w:hint="eastAsia"/>
          <w:b/>
          <w:bCs/>
          <w:sz w:val="28"/>
          <w:szCs w:val="28"/>
        </w:rPr>
        <w:t>Teachers</w:t>
      </w:r>
      <w:r>
        <w:rPr>
          <w:rFonts w:ascii="Times New Roman" w:hAnsi="Times New Roman" w:cs="Times New Roman"/>
          <w:b/>
          <w:bCs/>
          <w:sz w:val="28"/>
          <w:szCs w:val="28"/>
        </w:rPr>
        <w:t xml:space="preserve"> University</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 xml:space="preserve">Article 1 In order to enhance the understanding and friendship between China and the people of other countries in the world, </w:t>
      </w:r>
      <w:r>
        <w:rPr>
          <w:rFonts w:ascii="Times New Roman" w:hAnsi="Times New Roman" w:cs="Times New Roman" w:hint="eastAsia"/>
          <w:sz w:val="28"/>
          <w:szCs w:val="28"/>
        </w:rPr>
        <w:t xml:space="preserve">and to </w:t>
      </w:r>
      <w:r>
        <w:rPr>
          <w:rFonts w:ascii="Times New Roman" w:hAnsi="Times New Roman" w:cs="Times New Roman"/>
          <w:sz w:val="28"/>
          <w:szCs w:val="28"/>
        </w:rPr>
        <w:t xml:space="preserve">promote the international exchanges and cooperation with foreign universities and colleges, and strengthen the standardized administration of the work of international students, </w:t>
      </w:r>
      <w:r>
        <w:rPr>
          <w:rFonts w:ascii="Times New Roman" w:hAnsi="Times New Roman" w:cs="Times New Roman" w:hint="eastAsia"/>
          <w:sz w:val="28"/>
          <w:szCs w:val="28"/>
        </w:rPr>
        <w:t>t</w:t>
      </w:r>
      <w:r>
        <w:rPr>
          <w:rFonts w:ascii="Times New Roman" w:hAnsi="Times New Roman" w:cs="Times New Roman"/>
          <w:sz w:val="28"/>
          <w:szCs w:val="28"/>
        </w:rPr>
        <w:t>hese regulations are formulated in accordance with the Education Law of the People's Republic of China, The Higher Education Law of the People's Republic of China, the Law of the People's Republic of China on The Entry and Exit Of Foreigners and the Regulations on the Administration of Admission of International students by Institutions of Higher Learning.</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2 The term "international students" in these regulations refers to the foreigners who hold foreign passports and register to receive academic or non-academic education in our university.</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3 Our university accepts and trains international students, follows the national foreign policy, and safeguards national sovereignty, security and social and public interests.</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4 Our university accepts and cultivates international students in accordance with the principle of "deepening reform, strengthening management, ensuring quality and developing actively and steadily".</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 xml:space="preserve">Article 5 School of International Education is the centralized management </w:t>
      </w:r>
      <w:r>
        <w:rPr>
          <w:rFonts w:ascii="Times New Roman" w:hAnsi="Times New Roman" w:cs="Times New Roman"/>
          <w:sz w:val="28"/>
          <w:szCs w:val="28"/>
        </w:rPr>
        <w:lastRenderedPageBreak/>
        <w:t xml:space="preserve">department of international students in </w:t>
      </w:r>
      <w:r>
        <w:rPr>
          <w:rFonts w:ascii="Times New Roman" w:hAnsi="Times New Roman" w:cs="Times New Roman" w:hint="eastAsia"/>
          <w:sz w:val="28"/>
          <w:szCs w:val="28"/>
        </w:rPr>
        <w:t xml:space="preserve">our </w:t>
      </w:r>
      <w:r>
        <w:rPr>
          <w:rFonts w:ascii="Times New Roman" w:hAnsi="Times New Roman" w:cs="Times New Roman"/>
          <w:sz w:val="28"/>
          <w:szCs w:val="28"/>
        </w:rPr>
        <w:t>university, and carries out its work under the guidance of university-level leaders. The School of International Education is responsible for the recruitment, teaching and daily management of international students.</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6 Our university provides both academic education and non-academic education for international students. The categories of academic education are: junior college students and undergraduates; Categories of non-academic education are: scholars and scholars. The majors accepted by international students are all majors of our university.</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 xml:space="preserve">Article 7 Our university will </w:t>
      </w:r>
      <w:r>
        <w:rPr>
          <w:rFonts w:ascii="Times New Roman" w:hAnsi="Times New Roman" w:cs="Times New Roman" w:hint="eastAsia"/>
          <w:sz w:val="28"/>
          <w:szCs w:val="28"/>
        </w:rPr>
        <w:t>check</w:t>
      </w:r>
      <w:r>
        <w:rPr>
          <w:rFonts w:ascii="Times New Roman" w:hAnsi="Times New Roman" w:cs="Times New Roman"/>
          <w:sz w:val="28"/>
          <w:szCs w:val="28"/>
        </w:rPr>
        <w:t xml:space="preserve">, examine and assess the admission qualification of learners who apply for admission to China. Admission criteria </w:t>
      </w:r>
      <w:r>
        <w:rPr>
          <w:rFonts w:ascii="Times New Roman" w:hAnsi="Times New Roman" w:cs="Times New Roman" w:hint="eastAsia"/>
          <w:sz w:val="28"/>
          <w:szCs w:val="28"/>
        </w:rPr>
        <w:t>is</w:t>
      </w:r>
      <w:r>
        <w:rPr>
          <w:rFonts w:ascii="Times New Roman" w:hAnsi="Times New Roman" w:cs="Times New Roman"/>
          <w:sz w:val="28"/>
          <w:szCs w:val="28"/>
        </w:rPr>
        <w:t xml:space="preserve"> determined by our school. For educators who accept academic qualifications in Chinese, a Chinese proficiency test shall be conducted.</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8 Our university arranges the study of international students according to the unified education plan of the university, and carries out teaching activities according to the psychological and cultural characteristics of international students. On the premise of ensuring the quality of teaching, compulsory and elective courses for international students can be adjusted appropriately.</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 xml:space="preserve">Article 9 Chinese is the basic teaching language for Chinese institutions of higher learning to train international students. For international students whose Chinese proficiency is not up to the professional learning </w:t>
      </w:r>
      <w:r>
        <w:rPr>
          <w:rFonts w:ascii="Times New Roman" w:hAnsi="Times New Roman" w:cs="Times New Roman"/>
          <w:sz w:val="28"/>
          <w:szCs w:val="28"/>
        </w:rPr>
        <w:lastRenderedPageBreak/>
        <w:t>requirements, the university will provide necessary Chinese supplementary courses. Schools should strive to create conditions for international students to start all-English courses.</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10 The university shall organize international students to conduct teaching practice and social practice together with Chinese students in accordance with the teaching plan and a certain proportion. When selecting internship or practice sites, the relevant regulations concerning foreign affairs shall be observed.</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11 The university educates and manages international students in accordance with relevant national laws and regulations and the rules and regulations of the University. The university shall educate international students to abide by the laws and regulations of China, the rules and disciplines of the University, and respect the social morality and customs of China.</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 xml:space="preserve">Article 12 The university generally does not organize international students to participate in political activities, but it may organize international students to participate in voluntary public welfare labor and other activities. The university allows and encourages international students to participate in cultural and sports activities organized by the Student Union. With the approval of the university, international students can set up fellowship groups on campus, and conduct activities within the scope of Chinese laws and regulations, and obey the leadership and management of the University. </w:t>
      </w:r>
      <w:r>
        <w:rPr>
          <w:rFonts w:ascii="Times New Roman" w:hAnsi="Times New Roman" w:cs="Times New Roman"/>
          <w:sz w:val="28"/>
          <w:szCs w:val="28"/>
        </w:rPr>
        <w:lastRenderedPageBreak/>
        <w:t>International students shall apply to the competent authorities of the Chinese government for establishing trans-campus or trans-regional organizations.</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13 The university shall respect the ethnic customs and religious beliefs of international students, but shall not provide places for religious ceremonies. Missionary activities and religious gatherings are strictly prohibited on campus. With the approval of the university, international students may hold activities to celebrate important traditional festivals of their own countries at designated places and areas within the university, but they are not allowed to say or do anything against or attack other countries or violate public morals.</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14 The university provides accommodation and other necessary living facilities for international students, and establishes and promulgates a management system for the use of such facilities in accordance with relevant regulations.</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15 International students shall not be employed, engaged in business, or engaged in other business activities during their studies at the university, but may participate in work-study activities according to the regulations of the university.</w:t>
      </w:r>
    </w:p>
    <w:p w:rsidR="00DF0FF6" w:rsidRDefault="00DF0FF6" w:rsidP="00DF0FF6">
      <w:pPr>
        <w:spacing w:line="360" w:lineRule="auto"/>
        <w:rPr>
          <w:rFonts w:ascii="Times New Roman" w:hAnsi="Times New Roman" w:cs="Times New Roman"/>
          <w:sz w:val="28"/>
          <w:szCs w:val="28"/>
        </w:rPr>
      </w:pPr>
      <w:r>
        <w:rPr>
          <w:rFonts w:ascii="Times New Roman" w:hAnsi="Times New Roman" w:cs="Times New Roman"/>
          <w:sz w:val="28"/>
          <w:szCs w:val="28"/>
        </w:rPr>
        <w:t>Article 16 Entry and exit administration, social administration and other matters concerning international students shall be handled in accordance with relevant state regulations.</w:t>
      </w:r>
    </w:p>
    <w:p w:rsidR="00FC202A" w:rsidRPr="00DF0FF6" w:rsidRDefault="00FC202A" w:rsidP="00DF0FF6"/>
    <w:sectPr w:rsidR="00FC202A" w:rsidRPr="00DF0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D8161"/>
    <w:multiLevelType w:val="singleLevel"/>
    <w:tmpl w:val="599D81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F6"/>
    <w:rsid w:val="00DF0FF6"/>
    <w:rsid w:val="00FC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98F4C-F67F-4437-8739-0E37E34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F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F0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dc:creator>
  <cp:keywords/>
  <dc:description/>
  <cp:lastModifiedBy>张静</cp:lastModifiedBy>
  <cp:revision>1</cp:revision>
  <dcterms:created xsi:type="dcterms:W3CDTF">2022-04-05T13:30:00Z</dcterms:created>
  <dcterms:modified xsi:type="dcterms:W3CDTF">2022-04-05T13:41:00Z</dcterms:modified>
</cp:coreProperties>
</file>